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ind w:firstLine="567"/>
        <w:jc w:val="both"/>
        <w:rPr>
          <w:rFonts w:ascii="Times New Roman" w:eastAsia="Times New Roman" w:hAnsi="Times New Roman"/>
          <w:sz w:val="25"/>
          <w:szCs w:val="25"/>
          <w:lang w:val="ru-RU" w:eastAsia="ru-RU" w:bidi="ar-SA"/>
        </w:rPr>
      </w:pPr>
    </w:p>
    <w:p>
      <w:pPr>
        <w:widowControl w:val="0"/>
        <w:ind w:firstLine="567"/>
        <w:jc w:val="both"/>
        <w:rPr>
          <w:rFonts w:ascii="Times New Roman" w:eastAsia="Times New Roman" w:hAnsi="Times New Roman"/>
          <w:sz w:val="25"/>
          <w:szCs w:val="25"/>
          <w:lang w:val="ru-RU" w:eastAsia="ru-RU" w:bidi="ar-SA"/>
        </w:rPr>
      </w:pPr>
      <w:r>
        <w:rPr>
          <w:rFonts w:ascii="Times New Roman" w:eastAsia="Times New Roman" w:hAnsi="Times New Roman"/>
          <w:sz w:val="25"/>
          <w:szCs w:val="25"/>
          <w:lang w:val="ru-RU" w:eastAsia="ru-RU" w:bidi="ar-SA"/>
        </w:rPr>
        <w:t xml:space="preserve"> </w:t>
      </w:r>
    </w:p>
    <w:p>
      <w:pPr>
        <w:widowControl w:val="0"/>
        <w:ind w:firstLine="567"/>
        <w:jc w:val="both"/>
        <w:rPr>
          <w:rFonts w:ascii="Times New Roman" w:eastAsia="Times New Roman" w:hAnsi="Times New Roman"/>
          <w:spacing w:val="-4"/>
          <w:u w:val="single"/>
          <w:lang w:val="ru-RU" w:eastAsia="ru-RU" w:bidi="ar-SA"/>
        </w:rPr>
      </w:pPr>
      <w:proofErr w:type="gramStart"/>
      <w:r>
        <w:rPr>
          <w:rFonts w:ascii="Times New Roman" w:eastAsia="Times New Roman" w:hAnsi="Times New Roman"/>
          <w:lang w:val="ru-RU" w:eastAsia="ru-RU" w:bidi="ar-SA"/>
        </w:rPr>
        <w:t xml:space="preserve">«Исполнительный комитет </w:t>
      </w:r>
      <w:proofErr w:type="spellStart"/>
      <w:r>
        <w:rPr>
          <w:rFonts w:ascii="Times New Roman" w:eastAsia="Times New Roman" w:hAnsi="Times New Roman"/>
          <w:lang w:val="ru-RU" w:eastAsia="ru-RU" w:bidi="ar-SA"/>
        </w:rPr>
        <w:t>Альметьевского</w:t>
      </w:r>
      <w:proofErr w:type="spellEnd"/>
      <w:r>
        <w:rPr>
          <w:rFonts w:ascii="Times New Roman" w:eastAsia="Times New Roman" w:hAnsi="Times New Roman"/>
          <w:lang w:val="ru-RU" w:eastAsia="ru-RU" w:bidi="ar-SA"/>
        </w:rPr>
        <w:t xml:space="preserve"> муниципального района Республики Татарстан </w:t>
      </w:r>
      <w:r>
        <w:rPr>
          <w:rFonts w:ascii="Times New Roman" w:eastAsia="Times New Roman" w:hAnsi="Times New Roman"/>
          <w:spacing w:val="-4"/>
          <w:lang w:val="ru-RU" w:eastAsia="ru-RU" w:bidi="ar-SA"/>
        </w:rPr>
        <w:t>в соответствии с п.1 ст. 39.18 Земельного кодекса Российской Федерации, Законом Республики Татарстан от 26.12.2015 №109-ЗРТ «О наделении органов местного самоуправления муниципальных районов Республики Татарстан государственными полномочиями Республики Татарстан по расп</w:t>
      </w:r>
      <w:r>
        <w:rPr>
          <w:rFonts w:ascii="Times New Roman" w:eastAsia="Times New Roman" w:hAnsi="Times New Roman"/>
          <w:lang w:val="ru-RU" w:eastAsia="ru-RU" w:bidi="ar-SA"/>
        </w:rPr>
        <w:t>оря</w:t>
      </w:r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жению земельными участками, государственная собственность на которые не разграничена», извещает о возможности предоставления </w:t>
      </w:r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в собственность</w:t>
      </w:r>
      <w:r>
        <w:rPr>
          <w:rFonts w:ascii="Times New Roman" w:eastAsia="Times New Roman" w:hAnsi="Times New Roman"/>
          <w:lang w:val="ru-RU" w:eastAsia="ru-RU" w:bidi="ar-SA"/>
        </w:rPr>
        <w:t xml:space="preserve"> земельного участка</w:t>
      </w:r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 из земель категории</w:t>
      </w:r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 xml:space="preserve"> земли населенных</w:t>
      </w:r>
      <w:proofErr w:type="gramEnd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 xml:space="preserve"> пунктов</w:t>
      </w:r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, площадью </w:t>
      </w:r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 xml:space="preserve">2258 </w:t>
      </w:r>
      <w:proofErr w:type="spellStart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кв</w:t>
      </w:r>
      <w:proofErr w:type="gramStart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.м</w:t>
      </w:r>
      <w:proofErr w:type="spellEnd"/>
      <w:proofErr w:type="gramEnd"/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, для индивидуального жилищного строительства, расположенного по адресу: </w:t>
      </w:r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 xml:space="preserve">РТ, </w:t>
      </w:r>
      <w:proofErr w:type="spellStart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Альметьевский</w:t>
      </w:r>
      <w:proofErr w:type="spellEnd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 xml:space="preserve"> муниципальный район, Русско-</w:t>
      </w:r>
      <w:proofErr w:type="spellStart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Акташское</w:t>
      </w:r>
      <w:proofErr w:type="spellEnd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 xml:space="preserve"> сельское поселение, с. Русский Акташ, ул. </w:t>
      </w:r>
      <w:proofErr w:type="gramStart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Советская</w:t>
      </w:r>
      <w:proofErr w:type="gramEnd"/>
      <w:r>
        <w:rPr>
          <w:rFonts w:ascii="Times New Roman" w:eastAsia="Times New Roman" w:hAnsi="Times New Roman"/>
          <w:spacing w:val="-4"/>
          <w:u w:val="single"/>
          <w:lang w:val="ru-RU" w:eastAsia="ru-RU" w:bidi="ar-SA"/>
        </w:rPr>
        <w:t>, з/у 17.</w:t>
      </w:r>
    </w:p>
    <w:p>
      <w:pPr>
        <w:widowControl w:val="0"/>
        <w:ind w:firstLine="567"/>
        <w:jc w:val="both"/>
        <w:rPr>
          <w:rFonts w:ascii="Times New Roman" w:eastAsia="Times New Roman" w:hAnsi="Times New Roman"/>
          <w:lang w:val="ru-RU" w:eastAsia="ru-RU" w:bidi="ar-SA"/>
        </w:rPr>
      </w:pPr>
      <w:proofErr w:type="gramStart"/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Граждане и КФХ, заинтересованные в приобретении земельного участка вправе подавать заявление в электронном виде (должно быть заверено электронно-цифровой подписью (ЭЦП) или на бумажном носителе </w:t>
      </w:r>
      <w:r>
        <w:rPr>
          <w:rFonts w:ascii="Times New Roman" w:eastAsia="Times New Roman" w:hAnsi="Times New Roman"/>
          <w:lang w:val="ru-RU" w:eastAsia="ru-RU" w:bidi="ar-SA"/>
        </w:rPr>
        <w:t>со 2.09.2022 года по 3.10.2022 года.</w:t>
      </w:r>
      <w:proofErr w:type="gramEnd"/>
      <w:r>
        <w:rPr>
          <w:rFonts w:ascii="Times New Roman" w:eastAsia="Times New Roman" w:hAnsi="Times New Roman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Заявления подаются в Комитет земельно-имущественных отношений и градостроительной деятельности Альметьевского муниципального района Республики Татарстан по адресу: РТ, г. Альметьевск,   </w:t>
      </w:r>
      <w:proofErr w:type="spellStart"/>
      <w:r>
        <w:rPr>
          <w:rFonts w:ascii="Times New Roman" w:eastAsia="Times New Roman" w:hAnsi="Times New Roman"/>
          <w:spacing w:val="-4"/>
          <w:lang w:val="ru-RU" w:eastAsia="ru-RU" w:bidi="ar-SA"/>
        </w:rPr>
        <w:t>пр-кт</w:t>
      </w:r>
      <w:proofErr w:type="spellEnd"/>
      <w:r>
        <w:rPr>
          <w:rFonts w:ascii="Times New Roman" w:eastAsia="Times New Roman" w:hAnsi="Times New Roman"/>
          <w:spacing w:val="-4"/>
          <w:lang w:val="ru-RU" w:eastAsia="ru-RU" w:bidi="ar-SA"/>
        </w:rPr>
        <w:t xml:space="preserve"> Тукая, д. 9А, 2 этаж, окно 4, 5,  тел. (88553) 43-86-88, эл. почта: pzio@mail.ru. Время приема заявлений ежедневно (кроме выходных и праздничных дней) с 8.00 ч. до 17.15 ч. (обед с 12.00 до 13.15 ч.)</w:t>
      </w:r>
      <w:r>
        <w:rPr>
          <w:rFonts w:ascii="Times New Roman" w:hAnsi="Times New Roman"/>
          <w:lang w:val="ru-RU"/>
        </w:rPr>
        <w:t>».</w:t>
      </w:r>
    </w:p>
    <w:p>
      <w:pPr>
        <w:ind w:firstLine="708"/>
        <w:jc w:val="both"/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hAnsi="Times New Roman"/>
          <w:lang w:val="ru-RU"/>
        </w:rPr>
        <w:t xml:space="preserve">Ознакомление с каталогом координат и схемой земельного участка ежедневно (кроме выходных и праздничных дней) с 8.00 ч. до 17.15 ч. (обед с 12.00 до 13.15 ч.) по адресу: </w:t>
      </w:r>
      <w:proofErr w:type="gramStart"/>
      <w:r>
        <w:rPr>
          <w:rFonts w:ascii="Times New Roman" w:hAnsi="Times New Roman"/>
          <w:lang w:val="ru-RU"/>
        </w:rPr>
        <w:t xml:space="preserve">РТ, г. Альметьевск, </w:t>
      </w:r>
      <w:proofErr w:type="spellStart"/>
      <w:r>
        <w:rPr>
          <w:rFonts w:ascii="Times New Roman" w:hAnsi="Times New Roman"/>
          <w:lang w:val="ru-RU"/>
        </w:rPr>
        <w:t>пр-кт</w:t>
      </w:r>
      <w:proofErr w:type="spellEnd"/>
      <w:r>
        <w:rPr>
          <w:rFonts w:ascii="Times New Roman" w:hAnsi="Times New Roman"/>
          <w:lang w:val="ru-RU"/>
        </w:rPr>
        <w:t xml:space="preserve"> Г. Тукая, д. 9А, 2 этаж, окно 4,5,  тел. (88553) 43-86-88 либо на сайте </w:t>
      </w:r>
      <w:proofErr w:type="spellStart"/>
      <w:r>
        <w:rPr>
          <w:rFonts w:ascii="Times New Roman" w:hAnsi="Times New Roman"/>
          <w:lang w:val="ru-RU"/>
        </w:rPr>
        <w:t>Альметьевского</w:t>
      </w:r>
      <w:proofErr w:type="spellEnd"/>
      <w:r>
        <w:rPr>
          <w:rFonts w:ascii="Times New Roman" w:hAnsi="Times New Roman"/>
          <w:lang w:val="ru-RU"/>
        </w:rPr>
        <w:t xml:space="preserve"> муниципального района в информационно-телекоммуникационной сети Интернет (</w:t>
      </w:r>
      <w:hyperlink r:id="rId6" w:history="1">
        <w:r>
          <w:rPr>
            <w:rStyle w:val="af4"/>
            <w:rFonts w:ascii="Times New Roman" w:hAnsi="Times New Roman"/>
            <w:lang w:val="ru-RU"/>
          </w:rPr>
          <w:t>www.almetyevsk.tatarstan.ru</w:t>
        </w:r>
      </w:hyperlink>
      <w:r>
        <w:rPr>
          <w:rFonts w:ascii="Times New Roman" w:hAnsi="Times New Roman"/>
          <w:lang w:val="ru-RU"/>
        </w:rPr>
        <w:t>) во вкладке «Жизнь района», далее «Аукционы (конкурсы), свободные земельные участки, далее «Информация о свободных земельных участках, предоставляемых в собственность и в аренду».</w:t>
      </w:r>
      <w:proofErr w:type="gramEnd"/>
    </w:p>
    <w:p>
      <w:pPr>
        <w:rPr>
          <w:rFonts w:ascii="Times New Roman" w:hAnsi="Times New Roman"/>
          <w:lang w:val="ru-RU"/>
        </w:rPr>
      </w:pPr>
    </w:p>
    <w:p>
      <w:pPr>
        <w:jc w:val="center"/>
        <w:rPr>
          <w:rFonts w:ascii="Arial" w:eastAsia="Times New Roman" w:hAnsi="Arial" w:cs="Arial"/>
          <w:lang w:val="ru-RU" w:eastAsia="ru-RU" w:bidi="ar-SA"/>
        </w:rPr>
      </w:pPr>
      <w:r>
        <w:rPr>
          <w:rFonts w:ascii="Arial" w:eastAsia="Times New Roman" w:hAnsi="Arial" w:cs="Arial"/>
          <w:lang w:val="ru-RU" w:eastAsia="ru-RU" w:bidi="ar-SA"/>
        </w:rPr>
        <w:t>Схема расположения земельного участка или земельных участков на кадастровом плане территории</w:t>
      </w:r>
    </w:p>
    <w:p>
      <w:pPr>
        <w:jc w:val="center"/>
        <w:rPr>
          <w:rFonts w:ascii="Arial" w:eastAsia="Times New Roman" w:hAnsi="Arial" w:cs="Arial"/>
          <w:lang w:val="ru-RU" w:eastAsia="ru-RU" w:bidi="ar-SA"/>
        </w:rPr>
      </w:pPr>
    </w:p>
    <w:tbl>
      <w:tblPr>
        <w:tblStyle w:val="TableNormal"/>
        <w:tblpPr w:leftFromText="180" w:rightFromText="180" w:vertAnchor="text" w:horzAnchor="margin" w:tblpXSpec="center" w:tblpY="15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406"/>
        <w:gridCol w:w="2694"/>
      </w:tblGrid>
      <w:tr>
        <w:trPr>
          <w:trHeight w:val="247"/>
        </w:trPr>
        <w:tc>
          <w:tcPr>
            <w:tcW w:w="7635" w:type="dxa"/>
            <w:gridSpan w:val="3"/>
          </w:tcPr>
          <w:p>
            <w:pPr>
              <w:spacing w:before="16" w:line="211" w:lineRule="exact"/>
              <w:ind w:left="1859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Площадь</w:t>
            </w:r>
            <w:r>
              <w:rPr>
                <w:rFonts w:ascii="Microsoft Sans Serif" w:eastAsia="Microsoft Sans Serif" w:hAnsi="Microsoft Sans Serif" w:cs="Microsoft Sans Serif"/>
                <w:spacing w:val="9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земельного</w:t>
            </w:r>
            <w:r>
              <w:rPr>
                <w:rFonts w:ascii="Microsoft Sans Serif" w:eastAsia="Microsoft Sans Serif" w:hAnsi="Microsoft Sans Serif" w:cs="Microsoft Sans Serif"/>
                <w:spacing w:val="10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участка:</w:t>
            </w:r>
            <w:r>
              <w:rPr>
                <w:rFonts w:ascii="Microsoft Sans Serif" w:eastAsia="Microsoft Sans Serif" w:hAnsi="Microsoft Sans Serif" w:cs="Microsoft Sans Serif"/>
                <w:spacing w:val="68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2258</w:t>
            </w:r>
            <w:r>
              <w:rPr>
                <w:rFonts w:ascii="Microsoft Sans Serif" w:eastAsia="Microsoft Sans Serif" w:hAnsi="Microsoft Sans Serif" w:cs="Microsoft Sans Serif"/>
                <w:spacing w:val="9"/>
                <w:sz w:val="19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кв.м</w:t>
            </w:r>
            <w:proofErr w:type="spellEnd"/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.</w:t>
            </w:r>
          </w:p>
        </w:tc>
      </w:tr>
      <w:tr>
        <w:trPr>
          <w:trHeight w:val="254"/>
        </w:trPr>
        <w:tc>
          <w:tcPr>
            <w:tcW w:w="2535" w:type="dxa"/>
            <w:vMerge w:val="restart"/>
          </w:tcPr>
          <w:p>
            <w:pPr>
              <w:spacing w:before="47" w:line="249" w:lineRule="auto"/>
              <w:ind w:left="688" w:hanging="631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Обозначение</w:t>
            </w:r>
            <w:r>
              <w:rPr>
                <w:rFonts w:ascii="Microsoft Sans Serif" w:eastAsia="Microsoft Sans Serif" w:hAnsi="Microsoft Sans Serif" w:cs="Microsoft Sans Serif"/>
                <w:spacing w:val="12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характерных</w:t>
            </w:r>
            <w:r>
              <w:rPr>
                <w:rFonts w:ascii="Microsoft Sans Serif" w:eastAsia="Microsoft Sans Serif" w:hAnsi="Microsoft Sans Serif" w:cs="Microsoft Sans Serif"/>
                <w:spacing w:val="-47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точек</w:t>
            </w:r>
            <w:r>
              <w:rPr>
                <w:rFonts w:ascii="Microsoft Sans Serif" w:eastAsia="Microsoft Sans Serif" w:hAnsi="Microsoft Sans Serif" w:cs="Microsoft Sans Serif"/>
                <w:spacing w:val="3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границ</w:t>
            </w:r>
          </w:p>
        </w:tc>
        <w:tc>
          <w:tcPr>
            <w:tcW w:w="5100" w:type="dxa"/>
            <w:gridSpan w:val="2"/>
          </w:tcPr>
          <w:p>
            <w:pPr>
              <w:spacing w:before="20"/>
              <w:ind w:left="1857" w:right="184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Координаты,</w:t>
            </w:r>
            <w:r>
              <w:rPr>
                <w:rFonts w:ascii="Microsoft Sans Serif" w:eastAsia="Microsoft Sans Serif" w:hAnsi="Microsoft Sans Serif" w:cs="Microsoft Sans Serif"/>
                <w:spacing w:val="8"/>
                <w:sz w:val="19"/>
                <w:szCs w:val="22"/>
                <w:lang w:val="ru-RU"/>
              </w:rPr>
              <w:t xml:space="preserve"> </w:t>
            </w:r>
            <w:proofErr w:type="gramStart"/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м</w:t>
            </w:r>
            <w:proofErr w:type="gramEnd"/>
          </w:p>
        </w:tc>
      </w:tr>
      <w:tr>
        <w:trPr>
          <w:trHeight w:val="270"/>
        </w:trPr>
        <w:tc>
          <w:tcPr>
            <w:tcW w:w="2535" w:type="dxa"/>
            <w:vMerge/>
            <w:tcBorders>
              <w:top w:val="nil"/>
            </w:tcBorders>
          </w:tcPr>
          <w:p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  <w:lang w:val="ru-RU"/>
              </w:rPr>
            </w:pPr>
          </w:p>
        </w:tc>
        <w:tc>
          <w:tcPr>
            <w:tcW w:w="2406" w:type="dxa"/>
          </w:tcPr>
          <w:p>
            <w:pPr>
              <w:spacing w:before="27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X</w:t>
            </w:r>
          </w:p>
        </w:tc>
        <w:tc>
          <w:tcPr>
            <w:tcW w:w="2694" w:type="dxa"/>
          </w:tcPr>
          <w:p>
            <w:pPr>
              <w:spacing w:before="27"/>
              <w:ind w:left="13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Y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1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2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13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3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1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391219.63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2306151.75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2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391219.20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2306150.88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3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391220.36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2306153.30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4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391224.77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2306162.53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5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391225.95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2306164.98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6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391235.63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2306185.13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7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391239.37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2306192.97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8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391244.66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2306204.00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4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2"/>
                <w:sz w:val="19"/>
                <w:szCs w:val="22"/>
                <w:lang w:val="ru-RU"/>
              </w:rPr>
              <w:t>9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391247.39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2306209.64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136" w:right="1122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10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391252.88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2306221.88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136" w:right="1122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11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391280.00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2306211.00</w:t>
            </w:r>
          </w:p>
        </w:tc>
      </w:tr>
      <w:tr>
        <w:trPr>
          <w:trHeight w:val="247"/>
        </w:trPr>
        <w:tc>
          <w:tcPr>
            <w:tcW w:w="2535" w:type="dxa"/>
          </w:tcPr>
          <w:p>
            <w:pPr>
              <w:spacing w:before="16" w:line="211" w:lineRule="exact"/>
              <w:ind w:left="1136" w:right="1122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12</w:t>
            </w:r>
          </w:p>
        </w:tc>
        <w:tc>
          <w:tcPr>
            <w:tcW w:w="2406" w:type="dxa"/>
          </w:tcPr>
          <w:p>
            <w:pPr>
              <w:spacing w:before="16" w:line="211" w:lineRule="exact"/>
              <w:ind w:left="710" w:right="69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391246.25</w:t>
            </w:r>
          </w:p>
        </w:tc>
        <w:tc>
          <w:tcPr>
            <w:tcW w:w="2694" w:type="dxa"/>
          </w:tcPr>
          <w:p>
            <w:pPr>
              <w:spacing w:before="16" w:line="211" w:lineRule="exact"/>
              <w:ind w:left="799" w:right="786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2306140.25</w:t>
            </w:r>
          </w:p>
        </w:tc>
      </w:tr>
    </w:tbl>
    <w:p>
      <w:pPr>
        <w:jc w:val="center"/>
        <w:rPr>
          <w:rFonts w:ascii="Arial" w:eastAsia="Times New Roman" w:hAnsi="Arial" w:cs="Arial"/>
          <w:lang w:val="ru-RU" w:eastAsia="ru-RU" w:bidi="ar-SA"/>
        </w:rPr>
      </w:pPr>
    </w:p>
    <w:p>
      <w:pPr>
        <w:jc w:val="center"/>
        <w:rPr>
          <w:rFonts w:ascii="Arial" w:eastAsia="Times New Roman" w:hAnsi="Arial" w:cs="Arial"/>
          <w:lang w:val="ru-RU" w:eastAsia="ru-RU" w:bidi="ar-SA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p>
      <w:pPr>
        <w:rPr>
          <w:rFonts w:ascii="Times New Roman" w:hAnsi="Times New Roman"/>
          <w:lang w:val="ru-RU"/>
        </w:rPr>
      </w:pPr>
    </w:p>
    <w:tbl>
      <w:tblPr>
        <w:tblStyle w:val="TableNormal1"/>
        <w:tblW w:w="9522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7076"/>
      </w:tblGrid>
      <w:tr>
        <w:trPr>
          <w:trHeight w:val="330"/>
        </w:trPr>
        <w:tc>
          <w:tcPr>
            <w:tcW w:w="2446" w:type="dxa"/>
          </w:tcPr>
          <w:p>
            <w:pPr>
              <w:spacing w:before="48"/>
              <w:ind w:left="293" w:right="279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bookmarkStart w:id="0" w:name="_GoBack"/>
            <w:bookmarkEnd w:id="0"/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lastRenderedPageBreak/>
              <w:t>Система</w:t>
            </w:r>
            <w:r>
              <w:rPr>
                <w:rFonts w:ascii="Microsoft Sans Serif" w:eastAsia="Microsoft Sans Serif" w:hAnsi="Microsoft Sans Serif" w:cs="Microsoft Sans Serif"/>
                <w:spacing w:val="15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координат:</w:t>
            </w:r>
          </w:p>
        </w:tc>
        <w:tc>
          <w:tcPr>
            <w:tcW w:w="7076" w:type="dxa"/>
          </w:tcPr>
          <w:p>
            <w:pPr>
              <w:spacing w:before="48"/>
              <w:ind w:left="307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proofErr w:type="spellStart"/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СК_кадастрового_квартала</w:t>
            </w:r>
            <w:proofErr w:type="spellEnd"/>
          </w:p>
        </w:tc>
      </w:tr>
      <w:tr>
        <w:trPr>
          <w:trHeight w:val="345"/>
        </w:trPr>
        <w:tc>
          <w:tcPr>
            <w:tcW w:w="2446" w:type="dxa"/>
          </w:tcPr>
          <w:p>
            <w:pPr>
              <w:spacing w:before="56"/>
              <w:ind w:left="293" w:right="279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Масштаб:</w:t>
            </w:r>
          </w:p>
        </w:tc>
        <w:tc>
          <w:tcPr>
            <w:tcW w:w="7076" w:type="dxa"/>
          </w:tcPr>
          <w:p>
            <w:pPr>
              <w:spacing w:before="56"/>
              <w:ind w:left="307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1</w:t>
            </w:r>
            <w:proofErr w:type="gramStart"/>
            <w:r>
              <w:rPr>
                <w:rFonts w:ascii="Microsoft Sans Serif" w:eastAsia="Microsoft Sans Serif" w:hAnsi="Microsoft Sans Serif" w:cs="Microsoft Sans Serif"/>
                <w:spacing w:val="-4"/>
                <w:w w:val="105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:</w:t>
            </w:r>
            <w:proofErr w:type="gramEnd"/>
            <w:r>
              <w:rPr>
                <w:rFonts w:ascii="Microsoft Sans Serif" w:eastAsia="Microsoft Sans Serif" w:hAnsi="Microsoft Sans Serif" w:cs="Microsoft Sans Serif"/>
                <w:spacing w:val="-4"/>
                <w:w w:val="105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w w:val="105"/>
                <w:sz w:val="19"/>
                <w:szCs w:val="22"/>
                <w:lang w:val="ru-RU"/>
              </w:rPr>
              <w:t>5643</w:t>
            </w:r>
          </w:p>
        </w:tc>
      </w:tr>
      <w:tr>
        <w:trPr>
          <w:trHeight w:val="8642"/>
        </w:trPr>
        <w:tc>
          <w:tcPr>
            <w:tcW w:w="9522" w:type="dxa"/>
            <w:gridSpan w:val="2"/>
          </w:tcPr>
          <w:p>
            <w:pPr>
              <w:ind w:left="16" w:right="-29"/>
              <w:rPr>
                <w:rFonts w:ascii="Arial" w:eastAsia="Microsoft Sans Serif" w:hAnsi="Microsoft Sans Serif" w:cs="Microsoft Sans Serif"/>
                <w:sz w:val="20"/>
                <w:szCs w:val="22"/>
                <w:lang w:val="ru-RU"/>
              </w:rPr>
            </w:pPr>
            <w:r>
              <w:rPr>
                <w:rFonts w:ascii="Arial" w:eastAsia="Microsoft Sans Serif" w:hAnsi="Microsoft Sans Serif" w:cs="Microsoft Sans Serif"/>
                <w:noProof/>
                <w:sz w:val="20"/>
                <w:szCs w:val="22"/>
                <w:lang w:val="ru-RU" w:eastAsia="ru-RU"/>
              </w:rPr>
              <w:drawing>
                <wp:inline distT="0" distB="0" distL="0" distR="0">
                  <wp:extent cx="6949440" cy="5455920"/>
                  <wp:effectExtent l="0" t="0" r="0" b="0"/>
                  <wp:docPr id="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0" cy="545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45"/>
        </w:trPr>
        <w:tc>
          <w:tcPr>
            <w:tcW w:w="9522" w:type="dxa"/>
            <w:gridSpan w:val="2"/>
          </w:tcPr>
          <w:p>
            <w:pPr>
              <w:spacing w:before="56"/>
              <w:ind w:left="4396" w:right="4382"/>
              <w:jc w:val="center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Условные</w:t>
            </w:r>
            <w:r>
              <w:rPr>
                <w:rFonts w:ascii="Microsoft Sans Serif" w:eastAsia="Microsoft Sans Serif" w:hAnsi="Microsoft Sans Serif" w:cs="Microsoft Sans Serif"/>
                <w:spacing w:val="23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обозначения:</w:t>
            </w:r>
          </w:p>
        </w:tc>
      </w:tr>
      <w:tr>
        <w:trPr>
          <w:trHeight w:val="3717"/>
        </w:trPr>
        <w:tc>
          <w:tcPr>
            <w:tcW w:w="9522" w:type="dxa"/>
            <w:gridSpan w:val="2"/>
          </w:tcPr>
          <w:p>
            <w:pPr>
              <w:spacing w:before="8"/>
              <w:rPr>
                <w:rFonts w:ascii="Arial" w:eastAsia="Microsoft Sans Serif" w:hAnsi="Microsoft Sans Serif" w:cs="Microsoft Sans Serif"/>
                <w:b/>
                <w:sz w:val="29"/>
                <w:szCs w:val="22"/>
                <w:lang w:val="ru-RU"/>
              </w:rPr>
            </w:pPr>
          </w:p>
          <w:p>
            <w:pPr>
              <w:spacing w:line="276" w:lineRule="auto"/>
              <w:ind w:left="871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Граница</w:t>
            </w:r>
          </w:p>
          <w:p>
            <w:pPr>
              <w:spacing w:before="7" w:line="276" w:lineRule="auto"/>
              <w:rPr>
                <w:rFonts w:ascii="Arial" w:eastAsia="Microsoft Sans Serif" w:hAnsi="Microsoft Sans Serif" w:cs="Microsoft Sans Serif"/>
                <w:b/>
                <w:sz w:val="29"/>
                <w:szCs w:val="22"/>
                <w:lang w:val="ru-RU"/>
              </w:rPr>
            </w:pPr>
          </w:p>
          <w:p>
            <w:pPr>
              <w:spacing w:line="276" w:lineRule="auto"/>
              <w:ind w:left="871" w:right="7007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Кадастровые</w:t>
            </w:r>
            <w:r>
              <w:rPr>
                <w:rFonts w:ascii="Microsoft Sans Serif" w:eastAsia="Microsoft Sans Serif" w:hAnsi="Microsoft Sans Serif" w:cs="Microsoft Sans Serif"/>
                <w:spacing w:val="11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кварталы</w:t>
            </w:r>
            <w:r>
              <w:rPr>
                <w:rFonts w:ascii="Microsoft Sans Serif" w:eastAsia="Microsoft Sans Serif" w:hAnsi="Microsoft Sans Serif" w:cs="Microsoft Sans Serif"/>
                <w:spacing w:val="-47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Земельные</w:t>
            </w:r>
            <w:r>
              <w:rPr>
                <w:rFonts w:ascii="Microsoft Sans Serif" w:eastAsia="Microsoft Sans Serif" w:hAnsi="Microsoft Sans Serif" w:cs="Microsoft Sans Serif"/>
                <w:spacing w:val="5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участки</w:t>
            </w:r>
          </w:p>
          <w:p>
            <w:pPr>
              <w:spacing w:before="15" w:line="276" w:lineRule="auto"/>
              <w:ind w:left="871" w:right="5082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Объекты</w:t>
            </w:r>
            <w:r>
              <w:rPr>
                <w:rFonts w:ascii="Microsoft Sans Serif" w:eastAsia="Microsoft Sans Serif" w:hAnsi="Microsoft Sans Serif" w:cs="Microsoft Sans Serif"/>
                <w:spacing w:val="21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капитального</w:t>
            </w:r>
            <w:r>
              <w:rPr>
                <w:rFonts w:ascii="Microsoft Sans Serif" w:eastAsia="Microsoft Sans Serif" w:hAnsi="Microsoft Sans Serif" w:cs="Microsoft Sans Serif"/>
                <w:spacing w:val="22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строительства</w:t>
            </w:r>
            <w:r>
              <w:rPr>
                <w:rFonts w:ascii="Microsoft Sans Serif" w:eastAsia="Microsoft Sans Serif" w:hAnsi="Microsoft Sans Serif" w:cs="Microsoft Sans Serif"/>
                <w:spacing w:val="-48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Территориальные</w:t>
            </w:r>
            <w:r>
              <w:rPr>
                <w:rFonts w:ascii="Microsoft Sans Serif" w:eastAsia="Microsoft Sans Serif" w:hAnsi="Microsoft Sans Serif" w:cs="Microsoft Sans Serif"/>
                <w:spacing w:val="4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зоны</w:t>
            </w:r>
          </w:p>
          <w:p>
            <w:pPr>
              <w:spacing w:before="4" w:line="276" w:lineRule="auto"/>
              <w:ind w:left="871"/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Зоны</w:t>
            </w:r>
            <w:r>
              <w:rPr>
                <w:rFonts w:ascii="Microsoft Sans Serif" w:eastAsia="Microsoft Sans Serif" w:hAnsi="Microsoft Sans Serif" w:cs="Microsoft Sans Serif"/>
                <w:spacing w:val="18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с</w:t>
            </w:r>
            <w:r>
              <w:rPr>
                <w:rFonts w:ascii="Microsoft Sans Serif" w:eastAsia="Microsoft Sans Serif" w:hAnsi="Microsoft Sans Serif" w:cs="Microsoft Sans Serif"/>
                <w:spacing w:val="19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особыми</w:t>
            </w:r>
            <w:r>
              <w:rPr>
                <w:rFonts w:ascii="Microsoft Sans Serif" w:eastAsia="Microsoft Sans Serif" w:hAnsi="Microsoft Sans Serif" w:cs="Microsoft Sans Serif"/>
                <w:spacing w:val="19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условиями</w:t>
            </w:r>
            <w:r>
              <w:rPr>
                <w:rFonts w:ascii="Microsoft Sans Serif" w:eastAsia="Microsoft Sans Serif" w:hAnsi="Microsoft Sans Serif" w:cs="Microsoft Sans Serif"/>
                <w:spacing w:val="19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использования</w:t>
            </w:r>
            <w:r>
              <w:rPr>
                <w:rFonts w:ascii="Microsoft Sans Serif" w:eastAsia="Microsoft Sans Serif" w:hAnsi="Microsoft Sans Serif" w:cs="Microsoft Sans Serif"/>
                <w:spacing w:val="19"/>
                <w:sz w:val="19"/>
                <w:szCs w:val="22"/>
                <w:lang w:val="ru-RU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9"/>
                <w:szCs w:val="22"/>
                <w:lang w:val="ru-RU"/>
              </w:rPr>
              <w:t>территорий</w:t>
            </w:r>
          </w:p>
        </w:tc>
      </w:tr>
    </w:tbl>
    <w:p>
      <w:pPr>
        <w:jc w:val="center"/>
        <w:rPr>
          <w:rFonts w:ascii="Times New Roman" w:hAnsi="Times New Roman"/>
          <w:lang w:val="ru-RU"/>
        </w:rPr>
      </w:pPr>
    </w:p>
    <w:sectPr>
      <w:pgSz w:w="11850" w:h="16783" w:code="9"/>
      <w:pgMar w:top="1134" w:right="1134" w:bottom="851" w:left="1588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Pr>
      <w:szCs w:val="32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Pr>
      <w:i/>
    </w:rPr>
  </w:style>
  <w:style w:type="character" w:customStyle="1" w:styleId="22">
    <w:name w:val="Цитата 2 Знак"/>
    <w:basedOn w:val="a0"/>
    <w:link w:val="21"/>
    <w:uiPriority w:val="2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Pr>
      <w:b/>
      <w:i/>
      <w:sz w:val="24"/>
    </w:rPr>
  </w:style>
  <w:style w:type="character" w:styleId="ae">
    <w:name w:val="Subtle Emphasis"/>
    <w:uiPriority w:val="19"/>
    <w:qFormat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Pr>
      <w:b/>
      <w:sz w:val="24"/>
      <w:u w:val="single"/>
    </w:rPr>
  </w:style>
  <w:style w:type="character" w:styleId="af2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paragraph" w:styleId="af7">
    <w:name w:val="Body Text"/>
    <w:basedOn w:val="a"/>
    <w:link w:val="af8"/>
    <w:unhideWhenUsed/>
    <w:pPr>
      <w:jc w:val="both"/>
    </w:pPr>
    <w:rPr>
      <w:rFonts w:ascii="Times New Roman" w:eastAsia="Times New Roman" w:hAnsi="Times New Roman"/>
      <w:szCs w:val="20"/>
      <w:lang w:val="ru-RU" w:eastAsia="ru-RU" w:bidi="ar-SA"/>
    </w:rPr>
  </w:style>
  <w:style w:type="character" w:customStyle="1" w:styleId="af8">
    <w:name w:val="Основной текст Знак"/>
    <w:basedOn w:val="a0"/>
    <w:link w:val="af7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styleId="af9">
    <w:name w:val="Body Text Indent"/>
    <w:basedOn w:val="a"/>
    <w:link w:val="afa"/>
    <w:semiHidden/>
    <w:unhideWhenUsed/>
    <w:pPr>
      <w:spacing w:after="120"/>
      <w:ind w:left="283"/>
    </w:pPr>
    <w:rPr>
      <w:rFonts w:ascii="Times New Roman" w:eastAsia="Times New Roman" w:hAnsi="Times New Roman"/>
      <w:lang w:val="ru-RU" w:eastAsia="ru-RU" w:bidi="ar-SA"/>
    </w:rPr>
  </w:style>
  <w:style w:type="character" w:customStyle="1" w:styleId="afa">
    <w:name w:val="Основной текст с отступом Знак"/>
    <w:basedOn w:val="a0"/>
    <w:link w:val="af9"/>
    <w:semiHidden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rtxt">
    <w:name w:val="rtxt"/>
    <w:basedOn w:val="a0"/>
  </w:style>
  <w:style w:type="character" w:styleId="afb">
    <w:name w:val="Placeholder Text"/>
    <w:basedOn w:val="a0"/>
    <w:uiPriority w:val="99"/>
    <w:semiHidden/>
    <w:rPr>
      <w:color w:val="808080"/>
    </w:rPr>
  </w:style>
  <w:style w:type="table" w:customStyle="1" w:styleId="11">
    <w:name w:val="Сетка таблицы1"/>
    <w:basedOn w:val="a1"/>
    <w:next w:val="a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Pr>
      <w:szCs w:val="32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Pr>
      <w:i/>
    </w:rPr>
  </w:style>
  <w:style w:type="character" w:customStyle="1" w:styleId="22">
    <w:name w:val="Цитата 2 Знак"/>
    <w:basedOn w:val="a0"/>
    <w:link w:val="21"/>
    <w:uiPriority w:val="2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Pr>
      <w:b/>
      <w:i/>
      <w:sz w:val="24"/>
    </w:rPr>
  </w:style>
  <w:style w:type="character" w:styleId="ae">
    <w:name w:val="Subtle Emphasis"/>
    <w:uiPriority w:val="19"/>
    <w:qFormat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Pr>
      <w:b/>
      <w:sz w:val="24"/>
      <w:u w:val="single"/>
    </w:rPr>
  </w:style>
  <w:style w:type="character" w:styleId="af2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paragraph" w:styleId="af7">
    <w:name w:val="Body Text"/>
    <w:basedOn w:val="a"/>
    <w:link w:val="af8"/>
    <w:unhideWhenUsed/>
    <w:pPr>
      <w:jc w:val="both"/>
    </w:pPr>
    <w:rPr>
      <w:rFonts w:ascii="Times New Roman" w:eastAsia="Times New Roman" w:hAnsi="Times New Roman"/>
      <w:szCs w:val="20"/>
      <w:lang w:val="ru-RU" w:eastAsia="ru-RU" w:bidi="ar-SA"/>
    </w:rPr>
  </w:style>
  <w:style w:type="character" w:customStyle="1" w:styleId="af8">
    <w:name w:val="Основной текст Знак"/>
    <w:basedOn w:val="a0"/>
    <w:link w:val="af7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styleId="af9">
    <w:name w:val="Body Text Indent"/>
    <w:basedOn w:val="a"/>
    <w:link w:val="afa"/>
    <w:semiHidden/>
    <w:unhideWhenUsed/>
    <w:pPr>
      <w:spacing w:after="120"/>
      <w:ind w:left="283"/>
    </w:pPr>
    <w:rPr>
      <w:rFonts w:ascii="Times New Roman" w:eastAsia="Times New Roman" w:hAnsi="Times New Roman"/>
      <w:lang w:val="ru-RU" w:eastAsia="ru-RU" w:bidi="ar-SA"/>
    </w:rPr>
  </w:style>
  <w:style w:type="character" w:customStyle="1" w:styleId="afa">
    <w:name w:val="Основной текст с отступом Знак"/>
    <w:basedOn w:val="a0"/>
    <w:link w:val="af9"/>
    <w:semiHidden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rtxt">
    <w:name w:val="rtxt"/>
    <w:basedOn w:val="a0"/>
  </w:style>
  <w:style w:type="character" w:styleId="afb">
    <w:name w:val="Placeholder Text"/>
    <w:basedOn w:val="a0"/>
    <w:uiPriority w:val="99"/>
    <w:semiHidden/>
    <w:rPr>
      <w:color w:val="808080"/>
    </w:rPr>
  </w:style>
  <w:style w:type="table" w:customStyle="1" w:styleId="11">
    <w:name w:val="Сетка таблицы1"/>
    <w:basedOn w:val="a1"/>
    <w:next w:val="a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lmetyevsk.tatarstan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A6F4F-AD71-413D-BAD6-9AFA62D0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ПЗиИО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admin</cp:lastModifiedBy>
  <cp:revision>5</cp:revision>
  <cp:lastPrinted>2021-05-24T08:41:00Z</cp:lastPrinted>
  <dcterms:created xsi:type="dcterms:W3CDTF">2022-08-31T12:35:00Z</dcterms:created>
  <dcterms:modified xsi:type="dcterms:W3CDTF">2022-09-01T12:10:00Z</dcterms:modified>
</cp:coreProperties>
</file>